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30N180E&lt;/title&gt;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&lt;title&gt;THEMIS_Thermal_Inertia_Qualitative_8-bit_Mosaic_30N180E_100mpp.cub&lt;/title&gt;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&lt;westbc&gt;180.00&lt;/westbc&gt;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&lt;eastbc&gt;240.00&lt;/eastbc&gt;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&lt;northbc&gt;60.00&lt;/northbc&gt;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THEMIS_TI_Mosaic_8bit_30N180E_filelist.txt;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&lt;colcount&gt;37937&lt;/colcount&gt;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