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60S060E&lt;/title&gt;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&lt;title&gt;THEMIS_Thermal_Inertia_Qualitative_8-bit_Mosaic_60S060E_100mpp.cub&lt;/title&gt;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&lt;westbc&gt;60.00&lt;/westbc&gt;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&lt;eastbc&gt;120.00&lt;/eastbc&gt;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&lt;northbc&gt;-30.00&lt;/northbc&gt;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&lt;southbc&gt;-60.00&lt;/southbc&gt;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widowControl w:val="false"/>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THEMIS_TI_Mosaic_8bit_60S060E_filelist.txt;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widowControl w:val="false"/>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