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30N300E&lt;/title&gt;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&lt;title&gt;THEMIS_Thermal_Inertia_Qualitative_8-bit_Mosaic_30N300E_100mpp.cub&lt;/title&gt;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&lt;westbc&gt;300.00&lt;/westbc&gt;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&lt;eastbc&gt;360.00&lt;/eastbc&gt;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&lt;northbc&gt;60.00&lt;/northbc&gt;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THEMIS_TI_Mosaic_8bit_30N300E_filelist.txt;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